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bCs w:val="1"/>
          <w:sz w:val="24"/>
          <w:szCs w:val="24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u w:val="single"/>
          <w:rtl w:val="0"/>
        </w:rPr>
        <w:t xml:space="preserve">Informacja prasowa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                                                                 Łódź, 11.02.2025 r. </w:t>
      </w:r>
    </w:p>
    <w:p w:rsidR="00000000" w:rsidDel="00000000" w:rsidP="00000000" w:rsidRDefault="00000000" w:rsidRPr="00000000" w14:paraId="00000003">
      <w:pPr>
        <w:spacing w:after="240" w:before="240" w:line="240" w:lineRule="auto"/>
        <w:rPr>
          <w:sz w:val="48"/>
          <w:szCs w:val="48"/>
        </w:rPr>
      </w:pPr>
      <w:r w:rsidDel="00000000" w:rsidR="00000000" w:rsidRPr="00000000">
        <w:rPr>
          <w:color w:val="202122"/>
          <w:sz w:val="48"/>
          <w:szCs w:val="48"/>
          <w:highlight w:val="white"/>
          <w:rtl w:val="0"/>
        </w:rPr>
        <w:t xml:space="preserve">Za Kubota S.A. dobra końcówka roku –</w:t>
      </w:r>
      <w:r w:rsidDel="00000000" w:rsidR="00000000" w:rsidRPr="00000000">
        <w:rPr>
          <w:sz w:val="48"/>
          <w:szCs w:val="48"/>
          <w:rtl w:val="0"/>
        </w:rPr>
        <w:t xml:space="preserve"> spółka opublikowała raport finansowy za ostatni kwartał 2025 roku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Polska marka klapków, odzieży i akcesoriów podsumowała wyniki finansowe za IV kwartał 2025 roku, w którym</w:t>
      </w:r>
      <w:r w:rsidDel="00000000" w:rsidR="00000000" w:rsidRPr="00000000">
        <w:rPr>
          <w:b w:val="1"/>
          <w:bCs w:val="1"/>
          <w:rtl w:val="0"/>
        </w:rPr>
        <w:t xml:space="preserve"> osiągnęła 6 137 288,72 PLN przychodów netto ze sprzedaży, co stanowi wzrost o ok. 74,37% w stosunku do analogicznego okresu roku ubiegłego.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Zysk brutto w IV kwartale 2025 r. wyniósł 263 289,92 PLN, natomiast zysk netto w IV kwartale 2025 r. wyniósł 207 112,92 PLN.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Spółka w 2025 r.* wygenerowała 32 029 123,67 PLN przychodów netto ze sprzedaży i zrównanych z nimi, co stanowi wzrost o blisko 45,18%  w porównaniu do analogicznego okresu roku ubiegłego. W tym samym okresie Spółka wypracowała 2 250 966,29 PLN zysku netto, co stanowi wzrost o 306,03% w odniesieniu do okresu porównywalnego roku minionego.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i w:val="1"/>
          <w:iCs w:val="1"/>
          <w:highlight w:val="yellow"/>
        </w:rPr>
      </w:pPr>
      <w:r w:rsidDel="00000000" w:rsidR="00000000" w:rsidRPr="00000000">
        <w:rPr>
          <w:b w:val="1"/>
          <w:bCs w:val="1"/>
          <w:rtl w:val="0"/>
        </w:rPr>
        <w:t xml:space="preserve">Ostatni kwartał 2025 najlepszy w historii spółki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36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  <w:t xml:space="preserve">IV kwartał 2025 roku był najmocniejszym operacyjnie IV kwartałem w historii Spółki, mimo wyjątkowo wymagającego otoczenia rynkowego, które nie słabnie wraz z początkiem nowego roku.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200" w:line="360" w:lineRule="auto"/>
        <w:jc w:val="both"/>
        <w:rPr/>
      </w:pPr>
      <w:r w:rsidDel="00000000" w:rsidR="00000000" w:rsidRPr="00000000">
        <w:rPr>
          <w:i w:val="1"/>
          <w:iCs w:val="1"/>
          <w:highlight w:val="white"/>
          <w:rtl w:val="0"/>
        </w:rPr>
        <w:t xml:space="preserve">– W</w:t>
      </w:r>
      <w:r w:rsidDel="00000000" w:rsidR="00000000" w:rsidRPr="00000000">
        <w:rPr>
          <w:i w:val="1"/>
          <w:iCs w:val="1"/>
          <w:rtl w:val="0"/>
        </w:rPr>
        <w:t xml:space="preserve">yniki finansowe osiągnięte w czwartym kwartale 2025 roku należy uznać za dobre i potwierdzające skalę oraz dojrzałość operacyjną Spółki. Przychody ze sprzedaży w IV kwartale wyniosły 6,1 mln zł, co oznacza wzrost o 74,4% rok do roku, natomiast narastająco za cały 2025 rok* osiągnęły poziom 32,0 mln zł wobec 22,1 mln zł w roku poprzednim. Spółka wypracowała w 2025 roku zysk netto w wysokości 2,25 mln zł, co potwierdza zdolność do generowania dodatnich wyników finansowych mimo presji kosztowej i zmiennych warunków rynkowych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– komentuje Alina Sztoch, CEO &amp; Co-founder Kubota S.A.</w:t>
      </w:r>
      <w:r w:rsidDel="00000000" w:rsidR="00000000" w:rsidRPr="00000000">
        <w:rPr>
          <w:i w:val="1"/>
          <w:iCs w:val="1"/>
          <w:highlight w:val="white"/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00" w:before="200" w:line="36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before="200" w:line="36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– </w:t>
      </w:r>
      <w:r w:rsidDel="00000000" w:rsidR="00000000" w:rsidRPr="00000000">
        <w:rPr>
          <w:i w:val="1"/>
          <w:iCs w:val="1"/>
          <w:rtl w:val="0"/>
        </w:rPr>
        <w:t xml:space="preserve">Spółka w czwartym kwartale utrzymywała bezpieczną pozycję płynnościową, nie korzystając na koniec okresu ani z dostępnych limitów kredytowych, ani z uruchomionego faktoringu, co potwierdza stabilną sytuację finansową i elastyczność w zarządzaniu kapitałem obrotowym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–  dodaje Alina Sztoch.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W analizowanym kwartale Kubota kontynuowała rozwój w kluczowych kanałach sprzedaży oraz segmentach działalności. Realizowano szeroką współpracę z partnerami handlowymi i </w:t>
      </w:r>
    </w:p>
    <w:p w:rsidR="00000000" w:rsidDel="00000000" w:rsidP="00000000" w:rsidRDefault="00000000" w:rsidRPr="00000000" w14:paraId="0000000E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marketingowymi, w tym siecią Jeronimo Martins Polska oraz podmiotami z obszaru e-Commerce i B2B. Istotnym elementem działalności pozostawały również zamówienia personalizowane oraz współprace z rozpoznawalnymi markami i instytucjami, które wzmacniają rozpoznawalność marki i dywersyfikują źródła przychodów.</w:t>
      </w:r>
    </w:p>
    <w:p w:rsidR="00000000" w:rsidDel="00000000" w:rsidP="00000000" w:rsidRDefault="00000000" w:rsidRPr="00000000" w14:paraId="0000000F">
      <w:pPr>
        <w:spacing w:line="3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Prognozy na 2026 rok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Zarząd Kubota S.A. podkreślił, że rok 2026 zapowiada się jako okres istotnych wyzwań dla całej branży mody, związanych z utrzymującą się presją kosztową, ostrożnością konsumencką oraz nasilającą się konkurencją. 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highlight w:val="white"/>
        </w:rPr>
      </w:pPr>
      <w:r w:rsidDel="00000000" w:rsidR="00000000" w:rsidRPr="00000000">
        <w:rPr>
          <w:i w:val="1"/>
          <w:iCs w:val="1"/>
          <w:highlight w:val="white"/>
          <w:rtl w:val="0"/>
        </w:rPr>
        <w:t xml:space="preserve">– </w:t>
      </w:r>
      <w:r w:rsidDel="00000000" w:rsidR="00000000" w:rsidRPr="00000000">
        <w:rPr>
          <w:i w:val="1"/>
          <w:iCs w:val="1"/>
          <w:rtl w:val="0"/>
        </w:rPr>
        <w:t xml:space="preserve">W związku z tym priorytetem Spółki będzie dalsze odpowiedzialne zarządzanie skalą działalności oraz utrzymanie bezpiecznej struktury finansowania </w:t>
      </w:r>
      <w:r w:rsidDel="00000000" w:rsidR="00000000" w:rsidRPr="00000000">
        <w:rPr>
          <w:i w:val="1"/>
          <w:iCs w:val="1"/>
          <w:highlight w:val="white"/>
          <w:rtl w:val="0"/>
        </w:rPr>
        <w:t xml:space="preserve">– </w:t>
      </w:r>
      <w:r w:rsidDel="00000000" w:rsidR="00000000" w:rsidRPr="00000000">
        <w:rPr>
          <w:highlight w:val="white"/>
          <w:rtl w:val="0"/>
        </w:rPr>
        <w:t xml:space="preserve">podsumowuje Alina Sztoch, CEO &amp; Co-founder Kubota S.A. </w:t>
      </w:r>
    </w:p>
    <w:p w:rsidR="00000000" w:rsidDel="00000000" w:rsidP="00000000" w:rsidRDefault="00000000" w:rsidRPr="00000000" w14:paraId="00000014">
      <w:pPr>
        <w:jc w:val="both"/>
        <w:rPr>
          <w:color w:val="474747"/>
          <w:sz w:val="19"/>
          <w:szCs w:val="1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i w:val="1"/>
          <w:iCs w:val="1"/>
          <w:color w:val="474747"/>
          <w:sz w:val="19"/>
          <w:szCs w:val="1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*Przedstawione dane będą podlegały badaniu przez biegłego rewidenta, w związku z czym mogą ulec zmianie.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spacing w:line="276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4095750" cy="5334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095750" cy="533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